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DC3" w:rsidRDefault="00F95154" w:rsidP="00492A3D">
      <w:pPr>
        <w:jc w:val="right"/>
        <w:rPr>
          <w:rFonts w:ascii="Garamond" w:eastAsia="Times New Roman" w:hAnsi="Garamond"/>
          <w:bCs/>
          <w:iCs/>
          <w:sz w:val="28"/>
          <w:szCs w:val="28"/>
        </w:rPr>
      </w:pPr>
      <w:r>
        <w:rPr>
          <w:rFonts w:ascii="Garamond" w:eastAsia="Times New Roman" w:hAnsi="Garamond"/>
          <w:bCs/>
          <w:iCs/>
          <w:sz w:val="28"/>
          <w:szCs w:val="28"/>
        </w:rPr>
        <w:t>Virginia Inn of Court—Workers’ Compensation</w:t>
      </w:r>
    </w:p>
    <w:p w:rsidR="00287DC3" w:rsidRDefault="00287DC3" w:rsidP="00492A3D">
      <w:pPr>
        <w:jc w:val="right"/>
        <w:rPr>
          <w:rFonts w:ascii="Garamond" w:eastAsia="Times New Roman" w:hAnsi="Garamond"/>
          <w:bCs/>
          <w:iCs/>
          <w:sz w:val="28"/>
          <w:szCs w:val="28"/>
        </w:rPr>
      </w:pPr>
      <w:r>
        <w:rPr>
          <w:rFonts w:ascii="Garamond" w:eastAsia="Times New Roman" w:hAnsi="Garamond"/>
          <w:bCs/>
          <w:iCs/>
          <w:sz w:val="28"/>
          <w:szCs w:val="28"/>
        </w:rPr>
        <w:t>Case Law Update</w:t>
      </w:r>
    </w:p>
    <w:p w:rsidR="00287DC3" w:rsidRDefault="00287DC3" w:rsidP="00492A3D">
      <w:pPr>
        <w:jc w:val="right"/>
        <w:rPr>
          <w:rFonts w:ascii="Garamond" w:eastAsia="Times New Roman" w:hAnsi="Garamond"/>
          <w:bCs/>
          <w:iCs/>
          <w:sz w:val="28"/>
          <w:szCs w:val="28"/>
        </w:rPr>
      </w:pPr>
      <w:r>
        <w:rPr>
          <w:rFonts w:ascii="Garamond" w:eastAsia="Times New Roman" w:hAnsi="Garamond"/>
          <w:bCs/>
          <w:iCs/>
          <w:sz w:val="28"/>
          <w:szCs w:val="28"/>
        </w:rPr>
        <w:t>23 June 2021</w:t>
      </w:r>
    </w:p>
    <w:p w:rsidR="00492A3D" w:rsidRPr="00492A3D" w:rsidRDefault="00492A3D" w:rsidP="00492A3D">
      <w:pPr>
        <w:jc w:val="right"/>
        <w:rPr>
          <w:rFonts w:ascii="Garamond" w:eastAsia="Times New Roman" w:hAnsi="Garamond"/>
          <w:bCs/>
          <w:iCs/>
          <w:sz w:val="28"/>
          <w:szCs w:val="28"/>
        </w:rPr>
      </w:pPr>
    </w:p>
    <w:p w:rsidR="00BC3F4A" w:rsidRPr="00BC3F4A" w:rsidRDefault="00BC3F4A" w:rsidP="00F95154">
      <w:pPr>
        <w:rPr>
          <w:rFonts w:ascii="Garamond" w:eastAsia="Times New Roman" w:hAnsi="Garamond"/>
          <w:b/>
          <w:bCs/>
          <w:iCs/>
          <w:sz w:val="36"/>
          <w:szCs w:val="36"/>
        </w:rPr>
      </w:pPr>
      <w:r w:rsidRPr="00BC3F4A">
        <w:rPr>
          <w:rFonts w:ascii="Garamond" w:eastAsia="Times New Roman" w:hAnsi="Garamond"/>
          <w:b/>
          <w:bCs/>
          <w:iCs/>
          <w:sz w:val="36"/>
          <w:szCs w:val="36"/>
        </w:rPr>
        <w:t>ADDENDUM</w:t>
      </w:r>
    </w:p>
    <w:p w:rsidR="00BC3F4A" w:rsidRDefault="00BC3F4A" w:rsidP="00BC3F4A">
      <w:pPr>
        <w:rPr>
          <w:rFonts w:ascii="Garamond" w:eastAsia="Times New Roman" w:hAnsi="Garamond"/>
          <w:b/>
          <w:bCs/>
          <w:i/>
          <w:iCs/>
          <w:sz w:val="28"/>
          <w:szCs w:val="28"/>
        </w:rPr>
      </w:pPr>
    </w:p>
    <w:p w:rsidR="00CB1062" w:rsidRDefault="00BC3F4A" w:rsidP="00492A3D">
      <w:pPr>
        <w:jc w:val="both"/>
        <w:rPr>
          <w:rFonts w:ascii="Garamond" w:eastAsia="Times New Roman" w:hAnsi="Garamond"/>
          <w:bCs/>
          <w:iCs/>
          <w:sz w:val="28"/>
          <w:szCs w:val="28"/>
        </w:rPr>
      </w:pPr>
      <w:r w:rsidRPr="006F3203">
        <w:rPr>
          <w:rFonts w:ascii="Garamond" w:eastAsia="Times New Roman" w:hAnsi="Garamond"/>
          <w:bCs/>
          <w:iCs/>
          <w:sz w:val="28"/>
          <w:szCs w:val="28"/>
        </w:rPr>
        <w:t>The many cases outlined by Commissioner Rap</w:t>
      </w:r>
      <w:r w:rsidR="00492A3D" w:rsidRPr="006F3203">
        <w:rPr>
          <w:rFonts w:ascii="Garamond" w:eastAsia="Times New Roman" w:hAnsi="Garamond"/>
          <w:bCs/>
          <w:iCs/>
          <w:sz w:val="28"/>
          <w:szCs w:val="28"/>
        </w:rPr>
        <w:t>a</w:t>
      </w:r>
      <w:r w:rsidRPr="006F3203">
        <w:rPr>
          <w:rFonts w:ascii="Garamond" w:eastAsia="Times New Roman" w:hAnsi="Garamond"/>
          <w:bCs/>
          <w:iCs/>
          <w:sz w:val="28"/>
          <w:szCs w:val="28"/>
        </w:rPr>
        <w:t xml:space="preserve">port—included within your materials—offer a </w:t>
      </w:r>
      <w:r w:rsidR="00CB1062">
        <w:rPr>
          <w:rFonts w:ascii="Garamond" w:eastAsia="Times New Roman" w:hAnsi="Garamond"/>
          <w:bCs/>
          <w:iCs/>
          <w:sz w:val="28"/>
          <w:szCs w:val="28"/>
        </w:rPr>
        <w:t xml:space="preserve">sweeping reach. </w:t>
      </w:r>
      <w:r w:rsidR="00614254" w:rsidRPr="006F3203">
        <w:rPr>
          <w:rFonts w:ascii="Garamond" w:eastAsia="Times New Roman" w:hAnsi="Garamond"/>
          <w:bCs/>
          <w:iCs/>
          <w:sz w:val="28"/>
          <w:szCs w:val="28"/>
        </w:rPr>
        <w:t>Commissioner Rap</w:t>
      </w:r>
      <w:r w:rsidR="00492A3D" w:rsidRPr="006F3203">
        <w:rPr>
          <w:rFonts w:ascii="Garamond" w:eastAsia="Times New Roman" w:hAnsi="Garamond"/>
          <w:bCs/>
          <w:iCs/>
          <w:sz w:val="28"/>
          <w:szCs w:val="28"/>
        </w:rPr>
        <w:t>a</w:t>
      </w:r>
      <w:r w:rsidR="00614254" w:rsidRPr="006F3203">
        <w:rPr>
          <w:rFonts w:ascii="Garamond" w:eastAsia="Times New Roman" w:hAnsi="Garamond"/>
          <w:bCs/>
          <w:iCs/>
          <w:sz w:val="28"/>
          <w:szCs w:val="28"/>
        </w:rPr>
        <w:t>port has expertly</w:t>
      </w:r>
      <w:r w:rsidRPr="006F3203">
        <w:rPr>
          <w:rFonts w:ascii="Garamond" w:eastAsia="Times New Roman" w:hAnsi="Garamond"/>
          <w:bCs/>
          <w:iCs/>
          <w:sz w:val="28"/>
          <w:szCs w:val="28"/>
        </w:rPr>
        <w:t xml:space="preserve"> summariz</w:t>
      </w:r>
      <w:r w:rsidR="00614254" w:rsidRPr="006F3203">
        <w:rPr>
          <w:rFonts w:ascii="Garamond" w:eastAsia="Times New Roman" w:hAnsi="Garamond"/>
          <w:bCs/>
          <w:iCs/>
          <w:sz w:val="28"/>
          <w:szCs w:val="28"/>
        </w:rPr>
        <w:t>ed</w:t>
      </w:r>
      <w:r w:rsidRPr="006F3203">
        <w:rPr>
          <w:rFonts w:ascii="Garamond" w:eastAsia="Times New Roman" w:hAnsi="Garamond"/>
          <w:bCs/>
          <w:iCs/>
          <w:sz w:val="28"/>
          <w:szCs w:val="28"/>
        </w:rPr>
        <w:t xml:space="preserve"> th</w:t>
      </w:r>
      <w:r w:rsidR="00614254" w:rsidRPr="006F3203">
        <w:rPr>
          <w:rFonts w:ascii="Garamond" w:eastAsia="Times New Roman" w:hAnsi="Garamond"/>
          <w:bCs/>
          <w:iCs/>
          <w:sz w:val="28"/>
          <w:szCs w:val="28"/>
        </w:rPr>
        <w:t xml:space="preserve">ose </w:t>
      </w:r>
      <w:r w:rsidRPr="006F3203">
        <w:rPr>
          <w:rFonts w:ascii="Garamond" w:eastAsia="Times New Roman" w:hAnsi="Garamond"/>
          <w:bCs/>
          <w:iCs/>
          <w:sz w:val="28"/>
          <w:szCs w:val="28"/>
        </w:rPr>
        <w:t>decisions shaping</w:t>
      </w:r>
      <w:r w:rsidR="00614254" w:rsidRPr="006F3203">
        <w:rPr>
          <w:rFonts w:ascii="Garamond" w:eastAsia="Times New Roman" w:hAnsi="Garamond"/>
          <w:bCs/>
          <w:iCs/>
          <w:sz w:val="28"/>
          <w:szCs w:val="28"/>
        </w:rPr>
        <w:t xml:space="preserve"> all corners of</w:t>
      </w:r>
      <w:r w:rsidRPr="006F3203">
        <w:rPr>
          <w:rFonts w:ascii="Garamond" w:eastAsia="Times New Roman" w:hAnsi="Garamond"/>
          <w:bCs/>
          <w:iCs/>
          <w:sz w:val="28"/>
          <w:szCs w:val="28"/>
        </w:rPr>
        <w:t xml:space="preserve"> our arena.</w:t>
      </w:r>
      <w:r w:rsidR="009656C4">
        <w:rPr>
          <w:rFonts w:ascii="Garamond" w:eastAsia="Times New Roman" w:hAnsi="Garamond"/>
          <w:bCs/>
          <w:iCs/>
          <w:sz w:val="28"/>
          <w:szCs w:val="28"/>
        </w:rPr>
        <w:t xml:space="preserve"> The outline provides an excellent resource.</w:t>
      </w:r>
      <w:r w:rsidR="00BB169A">
        <w:rPr>
          <w:rFonts w:ascii="Garamond" w:eastAsia="Times New Roman" w:hAnsi="Garamond"/>
          <w:bCs/>
          <w:iCs/>
          <w:sz w:val="28"/>
          <w:szCs w:val="28"/>
        </w:rPr>
        <w:t xml:space="preserve"> </w:t>
      </w:r>
    </w:p>
    <w:p w:rsidR="00CB1062" w:rsidRDefault="00CB1062" w:rsidP="00492A3D">
      <w:pPr>
        <w:jc w:val="both"/>
        <w:rPr>
          <w:rFonts w:ascii="Garamond" w:eastAsia="Times New Roman" w:hAnsi="Garamond"/>
          <w:bCs/>
          <w:iCs/>
          <w:sz w:val="28"/>
          <w:szCs w:val="28"/>
        </w:rPr>
      </w:pPr>
    </w:p>
    <w:p w:rsidR="00CB1062" w:rsidRDefault="00CB1062" w:rsidP="00492A3D">
      <w:pPr>
        <w:jc w:val="both"/>
        <w:rPr>
          <w:rFonts w:ascii="Garamond" w:eastAsia="Times New Roman" w:hAnsi="Garamond"/>
          <w:bCs/>
          <w:iCs/>
          <w:sz w:val="28"/>
          <w:szCs w:val="28"/>
        </w:rPr>
      </w:pPr>
      <w:r>
        <w:rPr>
          <w:rFonts w:ascii="Garamond" w:eastAsia="Times New Roman" w:hAnsi="Garamond"/>
          <w:bCs/>
          <w:iCs/>
          <w:sz w:val="28"/>
          <w:szCs w:val="28"/>
        </w:rPr>
        <w:t>Yet</w:t>
      </w:r>
      <w:r w:rsidR="00BB169A">
        <w:rPr>
          <w:rFonts w:ascii="Garamond" w:eastAsia="Times New Roman" w:hAnsi="Garamond"/>
          <w:bCs/>
          <w:iCs/>
          <w:sz w:val="28"/>
          <w:szCs w:val="28"/>
        </w:rPr>
        <w:t xml:space="preserve"> time remains limited</w:t>
      </w:r>
      <w:r>
        <w:rPr>
          <w:rFonts w:ascii="Garamond" w:eastAsia="Times New Roman" w:hAnsi="Garamond"/>
          <w:bCs/>
          <w:iCs/>
          <w:sz w:val="28"/>
          <w:szCs w:val="28"/>
        </w:rPr>
        <w:t xml:space="preserve"> (just one hour</w:t>
      </w:r>
      <w:r w:rsidR="007D0832">
        <w:rPr>
          <w:rFonts w:ascii="Garamond" w:eastAsia="Times New Roman" w:hAnsi="Garamond"/>
          <w:bCs/>
          <w:iCs/>
          <w:sz w:val="28"/>
          <w:szCs w:val="28"/>
        </w:rPr>
        <w:t xml:space="preserve"> for our presentation</w:t>
      </w:r>
      <w:r>
        <w:rPr>
          <w:rFonts w:ascii="Garamond" w:eastAsia="Times New Roman" w:hAnsi="Garamond"/>
          <w:bCs/>
          <w:iCs/>
          <w:sz w:val="28"/>
          <w:szCs w:val="28"/>
        </w:rPr>
        <w:t>).</w:t>
      </w:r>
      <w:r w:rsidR="00BB169A">
        <w:rPr>
          <w:rFonts w:ascii="Garamond" w:eastAsia="Times New Roman" w:hAnsi="Garamond"/>
          <w:bCs/>
          <w:iCs/>
          <w:sz w:val="28"/>
          <w:szCs w:val="28"/>
        </w:rPr>
        <w:t xml:space="preserve"> </w:t>
      </w:r>
    </w:p>
    <w:p w:rsidR="00CB1062" w:rsidRDefault="00CB1062" w:rsidP="00492A3D">
      <w:pPr>
        <w:jc w:val="both"/>
        <w:rPr>
          <w:rFonts w:ascii="Garamond" w:eastAsia="Times New Roman" w:hAnsi="Garamond"/>
          <w:bCs/>
          <w:iCs/>
          <w:sz w:val="28"/>
          <w:szCs w:val="28"/>
        </w:rPr>
      </w:pPr>
    </w:p>
    <w:p w:rsidR="00614254" w:rsidRPr="006F3203" w:rsidRDefault="00BB169A" w:rsidP="00492A3D">
      <w:pPr>
        <w:jc w:val="both"/>
        <w:rPr>
          <w:rFonts w:ascii="Garamond" w:eastAsia="Times New Roman" w:hAnsi="Garamond"/>
          <w:bCs/>
          <w:iCs/>
          <w:sz w:val="28"/>
          <w:szCs w:val="28"/>
        </w:rPr>
      </w:pPr>
      <w:r>
        <w:rPr>
          <w:rFonts w:ascii="Garamond" w:eastAsia="Times New Roman" w:hAnsi="Garamond"/>
          <w:bCs/>
          <w:iCs/>
          <w:sz w:val="28"/>
          <w:szCs w:val="28"/>
        </w:rPr>
        <w:t xml:space="preserve">So we will </w:t>
      </w:r>
      <w:r w:rsidR="009656C4">
        <w:rPr>
          <w:rFonts w:ascii="Garamond" w:eastAsia="Times New Roman" w:hAnsi="Garamond"/>
          <w:bCs/>
          <w:iCs/>
          <w:sz w:val="28"/>
          <w:szCs w:val="28"/>
        </w:rPr>
        <w:t xml:space="preserve">focus our discussion through </w:t>
      </w:r>
      <w:r>
        <w:rPr>
          <w:rFonts w:ascii="Garamond" w:eastAsia="Times New Roman" w:hAnsi="Garamond"/>
          <w:bCs/>
          <w:iCs/>
          <w:sz w:val="28"/>
          <w:szCs w:val="28"/>
        </w:rPr>
        <w:t>ten decisions</w:t>
      </w:r>
      <w:r w:rsidR="00D42CFC">
        <w:rPr>
          <w:rFonts w:ascii="Garamond" w:eastAsia="Times New Roman" w:hAnsi="Garamond"/>
          <w:bCs/>
          <w:iCs/>
          <w:sz w:val="28"/>
          <w:szCs w:val="28"/>
        </w:rPr>
        <w:t>, all reached by the reviewing courts</w:t>
      </w:r>
      <w:r w:rsidR="00292AFB">
        <w:rPr>
          <w:rFonts w:ascii="Garamond" w:eastAsia="Times New Roman" w:hAnsi="Garamond"/>
          <w:bCs/>
          <w:iCs/>
          <w:sz w:val="28"/>
          <w:szCs w:val="28"/>
        </w:rPr>
        <w:t xml:space="preserve"> during the first half of 2021</w:t>
      </w:r>
      <w:r w:rsidR="00CB1062">
        <w:rPr>
          <w:rFonts w:ascii="Garamond" w:eastAsia="Times New Roman" w:hAnsi="Garamond"/>
          <w:bCs/>
          <w:iCs/>
          <w:sz w:val="28"/>
          <w:szCs w:val="28"/>
        </w:rPr>
        <w:t xml:space="preserve">. They </w:t>
      </w:r>
      <w:r w:rsidR="00D42CFC">
        <w:rPr>
          <w:rFonts w:ascii="Garamond" w:eastAsia="Times New Roman" w:hAnsi="Garamond"/>
          <w:bCs/>
          <w:iCs/>
          <w:sz w:val="28"/>
          <w:szCs w:val="28"/>
        </w:rPr>
        <w:t>offer</w:t>
      </w:r>
      <w:r w:rsidR="00CB1062">
        <w:rPr>
          <w:rFonts w:ascii="Garamond" w:eastAsia="Times New Roman" w:hAnsi="Garamond"/>
          <w:bCs/>
          <w:iCs/>
          <w:sz w:val="28"/>
          <w:szCs w:val="28"/>
        </w:rPr>
        <w:t xml:space="preserve"> </w:t>
      </w:r>
      <w:r w:rsidR="00D42CFC">
        <w:rPr>
          <w:rFonts w:ascii="Garamond" w:eastAsia="Times New Roman" w:hAnsi="Garamond"/>
          <w:bCs/>
          <w:iCs/>
          <w:sz w:val="28"/>
          <w:szCs w:val="28"/>
        </w:rPr>
        <w:t>a</w:t>
      </w:r>
      <w:r w:rsidR="00CB1062">
        <w:rPr>
          <w:rFonts w:ascii="Garamond" w:eastAsia="Times New Roman" w:hAnsi="Garamond"/>
          <w:bCs/>
          <w:iCs/>
          <w:sz w:val="28"/>
          <w:szCs w:val="28"/>
        </w:rPr>
        <w:t xml:space="preserve"> rough</w:t>
      </w:r>
      <w:r w:rsidR="00D42CFC">
        <w:rPr>
          <w:rFonts w:ascii="Garamond" w:eastAsia="Times New Roman" w:hAnsi="Garamond"/>
          <w:bCs/>
          <w:iCs/>
          <w:sz w:val="28"/>
          <w:szCs w:val="28"/>
        </w:rPr>
        <w:t xml:space="preserve"> framework</w:t>
      </w:r>
      <w:r w:rsidR="00CB1062">
        <w:rPr>
          <w:rFonts w:ascii="Garamond" w:eastAsia="Times New Roman" w:hAnsi="Garamond"/>
          <w:bCs/>
          <w:iCs/>
          <w:sz w:val="28"/>
          <w:szCs w:val="28"/>
        </w:rPr>
        <w:t xml:space="preserve">. </w:t>
      </w:r>
      <w:r>
        <w:rPr>
          <w:rFonts w:ascii="Garamond" w:eastAsia="Times New Roman" w:hAnsi="Garamond"/>
          <w:bCs/>
          <w:iCs/>
          <w:sz w:val="28"/>
          <w:szCs w:val="28"/>
        </w:rPr>
        <w:t xml:space="preserve">While many are </w:t>
      </w:r>
      <w:r w:rsidR="00CB1062">
        <w:rPr>
          <w:rFonts w:ascii="Garamond" w:eastAsia="Times New Roman" w:hAnsi="Garamond"/>
          <w:bCs/>
          <w:iCs/>
          <w:sz w:val="28"/>
          <w:szCs w:val="28"/>
        </w:rPr>
        <w:t xml:space="preserve">already </w:t>
      </w:r>
      <w:r>
        <w:rPr>
          <w:rFonts w:ascii="Garamond" w:eastAsia="Times New Roman" w:hAnsi="Garamond"/>
          <w:bCs/>
          <w:iCs/>
          <w:sz w:val="28"/>
          <w:szCs w:val="28"/>
        </w:rPr>
        <w:t xml:space="preserve">within the outline, several recently arrived. </w:t>
      </w:r>
      <w:r w:rsidR="00CB1062">
        <w:rPr>
          <w:rFonts w:ascii="Garamond" w:eastAsia="Times New Roman" w:hAnsi="Garamond"/>
          <w:bCs/>
          <w:iCs/>
          <w:sz w:val="28"/>
          <w:szCs w:val="28"/>
        </w:rPr>
        <w:t xml:space="preserve">And these ten </w:t>
      </w:r>
      <w:r w:rsidR="00292AFB">
        <w:rPr>
          <w:rFonts w:ascii="Garamond" w:eastAsia="Times New Roman" w:hAnsi="Garamond"/>
          <w:bCs/>
          <w:iCs/>
          <w:sz w:val="28"/>
          <w:szCs w:val="28"/>
        </w:rPr>
        <w:t xml:space="preserve">decisions </w:t>
      </w:r>
      <w:r w:rsidR="00CB1062">
        <w:rPr>
          <w:rFonts w:ascii="Garamond" w:eastAsia="Times New Roman" w:hAnsi="Garamond"/>
          <w:bCs/>
          <w:iCs/>
          <w:sz w:val="28"/>
          <w:szCs w:val="28"/>
        </w:rPr>
        <w:t xml:space="preserve">fall within </w:t>
      </w:r>
      <w:r w:rsidR="00CB1062" w:rsidRPr="00292AFB">
        <w:rPr>
          <w:rFonts w:ascii="Garamond" w:eastAsia="Times New Roman" w:hAnsi="Garamond"/>
          <w:b/>
          <w:bCs/>
          <w:i/>
          <w:iCs/>
          <w:sz w:val="28"/>
          <w:szCs w:val="28"/>
        </w:rPr>
        <w:t>two general categories</w:t>
      </w:r>
      <w:r w:rsidR="00CB1062">
        <w:rPr>
          <w:rFonts w:ascii="Garamond" w:eastAsia="Times New Roman" w:hAnsi="Garamond"/>
          <w:bCs/>
          <w:iCs/>
          <w:sz w:val="28"/>
          <w:szCs w:val="28"/>
        </w:rPr>
        <w:t>. The first category address</w:t>
      </w:r>
      <w:r w:rsidR="007D0832">
        <w:rPr>
          <w:rFonts w:ascii="Garamond" w:eastAsia="Times New Roman" w:hAnsi="Garamond"/>
          <w:bCs/>
          <w:iCs/>
          <w:sz w:val="28"/>
          <w:szCs w:val="28"/>
        </w:rPr>
        <w:t>es</w:t>
      </w:r>
      <w:r w:rsidR="00CB1062">
        <w:rPr>
          <w:rFonts w:ascii="Garamond" w:eastAsia="Times New Roman" w:hAnsi="Garamond"/>
          <w:bCs/>
          <w:iCs/>
          <w:sz w:val="28"/>
          <w:szCs w:val="28"/>
        </w:rPr>
        <w:t xml:space="preserve"> </w:t>
      </w:r>
      <w:r w:rsidR="00CB1062" w:rsidRPr="00292AFB">
        <w:rPr>
          <w:rFonts w:ascii="Garamond" w:eastAsia="Times New Roman" w:hAnsi="Garamond"/>
          <w:b/>
          <w:bCs/>
          <w:i/>
          <w:iCs/>
          <w:sz w:val="28"/>
          <w:szCs w:val="28"/>
        </w:rPr>
        <w:t>broader concepts</w:t>
      </w:r>
      <w:r w:rsidR="00CB1062">
        <w:rPr>
          <w:rFonts w:ascii="Garamond" w:eastAsia="Times New Roman" w:hAnsi="Garamond"/>
          <w:bCs/>
          <w:iCs/>
          <w:sz w:val="28"/>
          <w:szCs w:val="28"/>
        </w:rPr>
        <w:t xml:space="preserve">, the </w:t>
      </w:r>
      <w:r w:rsidR="00292AFB">
        <w:rPr>
          <w:rFonts w:ascii="Garamond" w:eastAsia="Times New Roman" w:hAnsi="Garamond"/>
          <w:bCs/>
          <w:iCs/>
          <w:sz w:val="28"/>
          <w:szCs w:val="28"/>
        </w:rPr>
        <w:t xml:space="preserve">core </w:t>
      </w:r>
      <w:r w:rsidR="00CB1062">
        <w:rPr>
          <w:rFonts w:ascii="Garamond" w:eastAsia="Times New Roman" w:hAnsi="Garamond"/>
          <w:bCs/>
          <w:iCs/>
          <w:sz w:val="28"/>
          <w:szCs w:val="28"/>
        </w:rPr>
        <w:t>elements and evidentiary burdens</w:t>
      </w:r>
      <w:r w:rsidR="00292AFB">
        <w:rPr>
          <w:rFonts w:ascii="Garamond" w:eastAsia="Times New Roman" w:hAnsi="Garamond"/>
          <w:bCs/>
          <w:iCs/>
          <w:sz w:val="28"/>
          <w:szCs w:val="28"/>
        </w:rPr>
        <w:t xml:space="preserve"> shaping Virginia workers’ compensation litigation. There are six such </w:t>
      </w:r>
      <w:r w:rsidR="007D0832">
        <w:rPr>
          <w:rFonts w:ascii="Garamond" w:eastAsia="Times New Roman" w:hAnsi="Garamond"/>
          <w:bCs/>
          <w:iCs/>
          <w:sz w:val="28"/>
          <w:szCs w:val="28"/>
        </w:rPr>
        <w:t>decisions</w:t>
      </w:r>
      <w:r w:rsidR="00292AFB">
        <w:rPr>
          <w:rFonts w:ascii="Garamond" w:eastAsia="Times New Roman" w:hAnsi="Garamond"/>
          <w:bCs/>
          <w:iCs/>
          <w:sz w:val="28"/>
          <w:szCs w:val="28"/>
        </w:rPr>
        <w:t>.</w:t>
      </w:r>
      <w:r w:rsidR="00CB1062">
        <w:rPr>
          <w:rFonts w:ascii="Garamond" w:eastAsia="Times New Roman" w:hAnsi="Garamond"/>
          <w:bCs/>
          <w:iCs/>
          <w:sz w:val="28"/>
          <w:szCs w:val="28"/>
        </w:rPr>
        <w:t xml:space="preserve"> The second category</w:t>
      </w:r>
      <w:r w:rsidR="00292AFB">
        <w:rPr>
          <w:rFonts w:ascii="Garamond" w:eastAsia="Times New Roman" w:hAnsi="Garamond"/>
          <w:bCs/>
          <w:iCs/>
          <w:sz w:val="28"/>
          <w:szCs w:val="28"/>
        </w:rPr>
        <w:t xml:space="preserve"> concerns </w:t>
      </w:r>
      <w:r w:rsidR="00CB1062" w:rsidRPr="00CB1062">
        <w:rPr>
          <w:rFonts w:ascii="Garamond" w:eastAsia="Times New Roman" w:hAnsi="Garamond"/>
          <w:b/>
          <w:bCs/>
          <w:i/>
          <w:iCs/>
          <w:sz w:val="28"/>
          <w:szCs w:val="28"/>
        </w:rPr>
        <w:t>medical provider claims</w:t>
      </w:r>
      <w:r w:rsidR="00292AFB">
        <w:rPr>
          <w:rFonts w:ascii="Garamond" w:eastAsia="Times New Roman" w:hAnsi="Garamond"/>
          <w:bCs/>
          <w:iCs/>
          <w:sz w:val="28"/>
          <w:szCs w:val="28"/>
        </w:rPr>
        <w:t>, an area of concentrated focus</w:t>
      </w:r>
      <w:r w:rsidR="00CB1062">
        <w:rPr>
          <w:rFonts w:ascii="Garamond" w:eastAsia="Times New Roman" w:hAnsi="Garamond"/>
          <w:bCs/>
          <w:iCs/>
          <w:sz w:val="28"/>
          <w:szCs w:val="28"/>
        </w:rPr>
        <w:t>.</w:t>
      </w:r>
      <w:r w:rsidR="00292AFB">
        <w:rPr>
          <w:rFonts w:ascii="Garamond" w:eastAsia="Times New Roman" w:hAnsi="Garamond"/>
          <w:bCs/>
          <w:iCs/>
          <w:sz w:val="28"/>
          <w:szCs w:val="28"/>
        </w:rPr>
        <w:t xml:space="preserve"> There are four such </w:t>
      </w:r>
      <w:r w:rsidR="007D0832">
        <w:rPr>
          <w:rFonts w:ascii="Garamond" w:eastAsia="Times New Roman" w:hAnsi="Garamond"/>
          <w:bCs/>
          <w:iCs/>
          <w:sz w:val="28"/>
          <w:szCs w:val="28"/>
        </w:rPr>
        <w:t>decisions</w:t>
      </w:r>
      <w:r w:rsidR="00292AFB">
        <w:rPr>
          <w:rFonts w:ascii="Garamond" w:eastAsia="Times New Roman" w:hAnsi="Garamond"/>
          <w:bCs/>
          <w:iCs/>
          <w:sz w:val="28"/>
          <w:szCs w:val="28"/>
        </w:rPr>
        <w:t>.</w:t>
      </w:r>
      <w:r w:rsidR="00CB1062">
        <w:rPr>
          <w:rFonts w:ascii="Garamond" w:eastAsia="Times New Roman" w:hAnsi="Garamond"/>
          <w:bCs/>
          <w:iCs/>
          <w:sz w:val="28"/>
          <w:szCs w:val="28"/>
        </w:rPr>
        <w:t xml:space="preserve"> H</w:t>
      </w:r>
      <w:r>
        <w:rPr>
          <w:rFonts w:ascii="Garamond" w:eastAsia="Times New Roman" w:hAnsi="Garamond"/>
          <w:bCs/>
          <w:iCs/>
          <w:sz w:val="28"/>
          <w:szCs w:val="28"/>
        </w:rPr>
        <w:t xml:space="preserve">ere </w:t>
      </w:r>
      <w:r w:rsidR="00372653">
        <w:rPr>
          <w:rFonts w:ascii="Garamond" w:eastAsia="Times New Roman" w:hAnsi="Garamond"/>
          <w:bCs/>
          <w:iCs/>
          <w:sz w:val="28"/>
          <w:szCs w:val="28"/>
        </w:rPr>
        <w:t>is a list of t</w:t>
      </w:r>
      <w:r>
        <w:rPr>
          <w:rFonts w:ascii="Garamond" w:eastAsia="Times New Roman" w:hAnsi="Garamond"/>
          <w:bCs/>
          <w:iCs/>
          <w:sz w:val="28"/>
          <w:szCs w:val="28"/>
        </w:rPr>
        <w:t xml:space="preserve">he </w:t>
      </w:r>
      <w:r w:rsidR="00372653">
        <w:rPr>
          <w:rFonts w:ascii="Garamond" w:eastAsia="Times New Roman" w:hAnsi="Garamond"/>
          <w:bCs/>
          <w:iCs/>
          <w:sz w:val="28"/>
          <w:szCs w:val="28"/>
        </w:rPr>
        <w:t>cases we will discuss</w:t>
      </w:r>
      <w:r>
        <w:rPr>
          <w:rFonts w:ascii="Garamond" w:eastAsia="Times New Roman" w:hAnsi="Garamond"/>
          <w:bCs/>
          <w:iCs/>
          <w:sz w:val="28"/>
          <w:szCs w:val="28"/>
        </w:rPr>
        <w:t>:</w:t>
      </w:r>
      <w:r w:rsidR="00614254" w:rsidRPr="006F3203">
        <w:rPr>
          <w:rFonts w:ascii="Garamond" w:eastAsia="Times New Roman" w:hAnsi="Garamond"/>
          <w:bCs/>
          <w:iCs/>
          <w:sz w:val="28"/>
          <w:szCs w:val="28"/>
        </w:rPr>
        <w:t xml:space="preserve"> </w:t>
      </w:r>
    </w:p>
    <w:p w:rsidR="00614254" w:rsidRDefault="00614254" w:rsidP="00D42CFC">
      <w:pPr>
        <w:ind w:left="720" w:hanging="360"/>
        <w:rPr>
          <w:rFonts w:ascii="Garamond" w:eastAsia="Times New Roman" w:hAnsi="Garamond"/>
          <w:bCs/>
          <w:iCs/>
          <w:sz w:val="28"/>
          <w:szCs w:val="28"/>
        </w:rPr>
      </w:pPr>
    </w:p>
    <w:p w:rsidR="00CB1062" w:rsidRDefault="00CB1062" w:rsidP="00CB1062">
      <w:pPr>
        <w:rPr>
          <w:rFonts w:ascii="Garamond" w:eastAsia="Times New Roman" w:hAnsi="Garamond"/>
          <w:bCs/>
          <w:iCs/>
          <w:sz w:val="28"/>
          <w:szCs w:val="28"/>
        </w:rPr>
      </w:pPr>
      <w:r w:rsidRPr="00CB1062">
        <w:rPr>
          <w:rFonts w:ascii="Garamond" w:eastAsia="Times New Roman" w:hAnsi="Garamond"/>
          <w:b/>
          <w:bCs/>
          <w:iCs/>
          <w:sz w:val="32"/>
          <w:szCs w:val="32"/>
        </w:rPr>
        <w:t>Broad</w:t>
      </w:r>
      <w:r>
        <w:rPr>
          <w:rFonts w:ascii="Garamond" w:eastAsia="Times New Roman" w:hAnsi="Garamond"/>
          <w:b/>
          <w:bCs/>
          <w:iCs/>
          <w:sz w:val="32"/>
          <w:szCs w:val="32"/>
        </w:rPr>
        <w:t>er</w:t>
      </w:r>
      <w:r w:rsidRPr="00CB1062">
        <w:rPr>
          <w:rFonts w:ascii="Garamond" w:eastAsia="Times New Roman" w:hAnsi="Garamond"/>
          <w:b/>
          <w:bCs/>
          <w:iCs/>
          <w:sz w:val="32"/>
          <w:szCs w:val="32"/>
        </w:rPr>
        <w:t xml:space="preserve"> Concept</w:t>
      </w:r>
      <w:r w:rsidR="00292AFB">
        <w:rPr>
          <w:rFonts w:ascii="Garamond" w:eastAsia="Times New Roman" w:hAnsi="Garamond"/>
          <w:b/>
          <w:bCs/>
          <w:iCs/>
          <w:sz w:val="32"/>
          <w:szCs w:val="32"/>
        </w:rPr>
        <w:t>s</w:t>
      </w:r>
      <w:r>
        <w:rPr>
          <w:rFonts w:ascii="Garamond" w:eastAsia="Times New Roman" w:hAnsi="Garamond"/>
          <w:bCs/>
          <w:iCs/>
          <w:sz w:val="28"/>
          <w:szCs w:val="28"/>
        </w:rPr>
        <w:t xml:space="preserve">. </w:t>
      </w:r>
    </w:p>
    <w:p w:rsidR="00CB1062" w:rsidRPr="006F3203" w:rsidRDefault="00CB1062" w:rsidP="00D42CFC">
      <w:pPr>
        <w:ind w:left="720" w:hanging="360"/>
        <w:rPr>
          <w:rFonts w:ascii="Garamond" w:eastAsia="Times New Roman" w:hAnsi="Garamond"/>
          <w:bCs/>
          <w:iCs/>
          <w:sz w:val="28"/>
          <w:szCs w:val="28"/>
        </w:rPr>
      </w:pPr>
    </w:p>
    <w:p w:rsidR="006F3203" w:rsidRPr="006F3203" w:rsidRDefault="006F3203" w:rsidP="00D42CFC">
      <w:pPr>
        <w:pStyle w:val="ListParagraph"/>
        <w:numPr>
          <w:ilvl w:val="0"/>
          <w:numId w:val="6"/>
        </w:numPr>
        <w:rPr>
          <w:rFonts w:ascii="Garamond" w:eastAsia="Times New Roman" w:hAnsi="Garamond"/>
          <w:bCs/>
          <w:iCs/>
          <w:sz w:val="28"/>
          <w:szCs w:val="28"/>
        </w:rPr>
      </w:pPr>
      <w:r w:rsidRPr="006F3203">
        <w:rPr>
          <w:rFonts w:ascii="Garamond" w:hAnsi="Garamond" w:cs="Helvetica"/>
          <w:b/>
          <w:i/>
          <w:color w:val="373739"/>
          <w:sz w:val="28"/>
          <w:szCs w:val="28"/>
          <w:shd w:val="clear" w:color="auto" w:fill="FFFFFF"/>
        </w:rPr>
        <w:t>Merck &amp; Co. v. Vincent</w:t>
      </w:r>
      <w:r w:rsidRPr="006F3203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, </w:t>
      </w:r>
      <w:r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>___ Va. ____ (2021)</w:t>
      </w:r>
      <w:r w:rsidR="009656C4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 (addressing permanent total relief u</w:t>
      </w:r>
      <w:r w:rsidR="00BB169A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nder </w:t>
      </w:r>
      <w:r w:rsidRPr="006F3203">
        <w:rPr>
          <w:rFonts w:ascii="Garamond" w:hAnsi="Garamond" w:cs="Helvetica"/>
          <w:color w:val="373739"/>
          <w:sz w:val="28"/>
          <w:szCs w:val="28"/>
        </w:rPr>
        <w:t>Va. Code § 65.2-503(C)(1)</w:t>
      </w:r>
      <w:r w:rsidR="009656C4">
        <w:rPr>
          <w:rFonts w:ascii="Garamond" w:hAnsi="Garamond" w:cs="Helvetica"/>
          <w:color w:val="373739"/>
          <w:sz w:val="28"/>
          <w:szCs w:val="28"/>
        </w:rPr>
        <w:t>).</w:t>
      </w:r>
    </w:p>
    <w:p w:rsidR="006F3203" w:rsidRPr="006F3203" w:rsidRDefault="006F3203" w:rsidP="00D42CFC">
      <w:pPr>
        <w:pStyle w:val="ListParagraph"/>
        <w:ind w:hanging="360"/>
        <w:rPr>
          <w:rFonts w:ascii="Garamond" w:eastAsia="Times New Roman" w:hAnsi="Garamond"/>
          <w:bCs/>
          <w:iCs/>
          <w:sz w:val="28"/>
          <w:szCs w:val="28"/>
        </w:rPr>
      </w:pPr>
    </w:p>
    <w:p w:rsidR="009656C4" w:rsidRPr="009656C4" w:rsidRDefault="006F3203" w:rsidP="00D42CFC">
      <w:pPr>
        <w:pStyle w:val="ListParagraph"/>
        <w:numPr>
          <w:ilvl w:val="0"/>
          <w:numId w:val="6"/>
        </w:numPr>
        <w:rPr>
          <w:rFonts w:ascii="Garamond" w:eastAsia="Times New Roman" w:hAnsi="Garamond"/>
          <w:bCs/>
          <w:iCs/>
          <w:sz w:val="28"/>
          <w:szCs w:val="28"/>
        </w:rPr>
      </w:pPr>
      <w:r w:rsidRPr="009656C4">
        <w:rPr>
          <w:rFonts w:ascii="Garamond" w:hAnsi="Garamond" w:cs="Helvetica"/>
          <w:b/>
          <w:i/>
          <w:color w:val="373739"/>
          <w:sz w:val="28"/>
          <w:szCs w:val="28"/>
          <w:shd w:val="clear" w:color="auto" w:fill="FFFFFF"/>
        </w:rPr>
        <w:t>Alexandria City Pub. Sch. v. Handel</w:t>
      </w:r>
      <w:r w:rsidRPr="009656C4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, </w:t>
      </w:r>
      <w:r w:rsidR="00675A2B" w:rsidRPr="009656C4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>No. 1582-18-3</w:t>
      </w:r>
      <w:r w:rsidRPr="009656C4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>2021</w:t>
      </w:r>
      <w:r w:rsidR="00675A2B" w:rsidRPr="009656C4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 (Va.</w:t>
      </w:r>
      <w:r w:rsidR="00944182" w:rsidRPr="009656C4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 Ct.</w:t>
      </w:r>
      <w:r w:rsidR="00675A2B" w:rsidRPr="009656C4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 App. May 11, 2021)</w:t>
      </w:r>
      <w:r w:rsidR="009656C4" w:rsidRPr="009656C4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 (discussing </w:t>
      </w:r>
      <w:r w:rsidR="009656C4" w:rsidRPr="009656C4">
        <w:rPr>
          <w:rFonts w:ascii="Garamond" w:hAnsi="Garamond" w:cs="Helvetica"/>
          <w:b/>
          <w:i/>
          <w:color w:val="373739"/>
          <w:sz w:val="28"/>
          <w:szCs w:val="28"/>
          <w:shd w:val="clear" w:color="auto" w:fill="FFFFFF"/>
        </w:rPr>
        <w:t>injury</w:t>
      </w:r>
      <w:r w:rsidR="009656C4" w:rsidRPr="009656C4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>—the need for a mechanical or structural</w:t>
      </w:r>
      <w:r w:rsidR="009656C4" w:rsidRPr="009656C4">
        <w:rPr>
          <w:rFonts w:ascii="Garamond" w:hAnsi="Garamond" w:cs="Helvetica"/>
          <w:b/>
          <w:color w:val="373739"/>
          <w:sz w:val="28"/>
          <w:szCs w:val="28"/>
          <w:shd w:val="clear" w:color="auto" w:fill="FFFFFF"/>
        </w:rPr>
        <w:t xml:space="preserve"> </w:t>
      </w:r>
      <w:r w:rsidR="009656C4" w:rsidRPr="009656C4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>change)</w:t>
      </w:r>
      <w:r w:rsidR="00675A2B" w:rsidRPr="009656C4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>.</w:t>
      </w:r>
    </w:p>
    <w:p w:rsidR="00675A2B" w:rsidRPr="009656C4" w:rsidRDefault="00675A2B" w:rsidP="00D42CFC">
      <w:pPr>
        <w:ind w:left="720" w:hanging="360"/>
        <w:rPr>
          <w:rFonts w:ascii="Garamond" w:eastAsia="Times New Roman" w:hAnsi="Garamond"/>
          <w:bCs/>
          <w:iCs/>
          <w:sz w:val="28"/>
          <w:szCs w:val="28"/>
        </w:rPr>
      </w:pPr>
      <w:r w:rsidRPr="009656C4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 </w:t>
      </w:r>
    </w:p>
    <w:p w:rsidR="00675A2B" w:rsidRPr="00210BB1" w:rsidRDefault="00675A2B" w:rsidP="00D42CFC">
      <w:pPr>
        <w:pStyle w:val="ListParagraph"/>
        <w:numPr>
          <w:ilvl w:val="0"/>
          <w:numId w:val="6"/>
        </w:numPr>
        <w:rPr>
          <w:rFonts w:ascii="Garamond" w:eastAsia="Times New Roman" w:hAnsi="Garamond"/>
          <w:bCs/>
          <w:iCs/>
          <w:sz w:val="28"/>
          <w:szCs w:val="28"/>
        </w:rPr>
      </w:pPr>
      <w:r w:rsidRPr="00210BB1">
        <w:rPr>
          <w:rFonts w:ascii="Garamond" w:hAnsi="Garamond" w:cs="Helvetica"/>
          <w:b/>
          <w:i/>
          <w:color w:val="373739"/>
          <w:sz w:val="28"/>
          <w:szCs w:val="28"/>
          <w:shd w:val="clear" w:color="auto" w:fill="FFFFFF"/>
        </w:rPr>
        <w:t>Reynolds v. Falletta Enter</w:t>
      </w:r>
      <w:r w:rsidR="00210BB1" w:rsidRPr="00210BB1">
        <w:rPr>
          <w:rFonts w:ascii="Garamond" w:hAnsi="Garamond" w:cs="Helvetica"/>
          <w:b/>
          <w:i/>
          <w:color w:val="373739"/>
          <w:sz w:val="28"/>
          <w:szCs w:val="28"/>
          <w:shd w:val="clear" w:color="auto" w:fill="FFFFFF"/>
        </w:rPr>
        <w:t>prises</w:t>
      </w:r>
      <w:r w:rsidRPr="00210BB1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, </w:t>
      </w:r>
      <w:r w:rsidR="00210BB1" w:rsidRPr="00210BB1">
        <w:rPr>
          <w:rFonts w:ascii="Garamond" w:hAnsi="Garamond" w:cs="Helvetica"/>
          <w:color w:val="373739"/>
          <w:sz w:val="28"/>
          <w:szCs w:val="28"/>
        </w:rPr>
        <w:t>Record No. 0796-20-3</w:t>
      </w:r>
      <w:r w:rsidR="00210BB1" w:rsidRPr="00210BB1">
        <w:rPr>
          <w:rFonts w:ascii="Garamond" w:hAnsi="Garamond" w:cs="Helvetica"/>
          <w:color w:val="373739"/>
          <w:sz w:val="28"/>
          <w:szCs w:val="28"/>
        </w:rPr>
        <w:t xml:space="preserve"> (Va. </w:t>
      </w:r>
      <w:r w:rsidR="00944182">
        <w:rPr>
          <w:rFonts w:ascii="Garamond" w:hAnsi="Garamond" w:cs="Helvetica"/>
          <w:color w:val="373739"/>
          <w:sz w:val="28"/>
          <w:szCs w:val="28"/>
        </w:rPr>
        <w:t xml:space="preserve">Ct. </w:t>
      </w:r>
      <w:r w:rsidR="00210BB1" w:rsidRPr="00210BB1">
        <w:rPr>
          <w:rFonts w:ascii="Garamond" w:hAnsi="Garamond" w:cs="Helvetica"/>
          <w:color w:val="373739"/>
          <w:sz w:val="28"/>
          <w:szCs w:val="28"/>
        </w:rPr>
        <w:t>App.</w:t>
      </w:r>
      <w:r w:rsidR="00210BB1">
        <w:rPr>
          <w:rFonts w:ascii="Garamond" w:hAnsi="Garamond" w:cs="Helvetica"/>
          <w:color w:val="373739"/>
          <w:sz w:val="28"/>
          <w:szCs w:val="28"/>
        </w:rPr>
        <w:t xml:space="preserve"> Jan. 26, 2021)</w:t>
      </w:r>
      <w:r w:rsidR="009656C4">
        <w:rPr>
          <w:rFonts w:ascii="Garamond" w:hAnsi="Garamond" w:cs="Helvetica"/>
          <w:color w:val="373739"/>
          <w:sz w:val="28"/>
          <w:szCs w:val="28"/>
        </w:rPr>
        <w:t xml:space="preserve"> (resisting an invited inference)</w:t>
      </w:r>
      <w:r w:rsidRPr="00210BB1">
        <w:rPr>
          <w:rFonts w:ascii="Garamond" w:hAnsi="Garamond"/>
          <w:sz w:val="28"/>
          <w:szCs w:val="28"/>
        </w:rPr>
        <w:t>.</w:t>
      </w:r>
    </w:p>
    <w:p w:rsidR="00675A2B" w:rsidRPr="00210BB1" w:rsidRDefault="00675A2B" w:rsidP="00D42CFC">
      <w:pPr>
        <w:pStyle w:val="ListParagraph"/>
        <w:ind w:hanging="360"/>
        <w:rPr>
          <w:rFonts w:ascii="Garamond" w:eastAsia="Times New Roman" w:hAnsi="Garamond"/>
          <w:bCs/>
          <w:iCs/>
          <w:sz w:val="28"/>
          <w:szCs w:val="28"/>
        </w:rPr>
      </w:pPr>
    </w:p>
    <w:p w:rsidR="00372653" w:rsidRPr="00292AFB" w:rsidRDefault="00675A2B" w:rsidP="00D42CFC">
      <w:pPr>
        <w:pStyle w:val="ListParagraph"/>
        <w:numPr>
          <w:ilvl w:val="0"/>
          <w:numId w:val="6"/>
        </w:numPr>
        <w:rPr>
          <w:rFonts w:ascii="Garamond" w:hAnsi="Garamond" w:cs="Helvetica"/>
          <w:color w:val="373739"/>
          <w:sz w:val="28"/>
          <w:szCs w:val="28"/>
        </w:rPr>
      </w:pPr>
      <w:r w:rsidRPr="00CB1062">
        <w:rPr>
          <w:rFonts w:ascii="Garamond" w:hAnsi="Garamond" w:cs="Helvetica"/>
          <w:b/>
          <w:i/>
          <w:color w:val="373739"/>
          <w:sz w:val="28"/>
          <w:szCs w:val="28"/>
          <w:shd w:val="clear" w:color="auto" w:fill="FFFFFF"/>
        </w:rPr>
        <w:t>CJ Designs Inc. v. Williams</w:t>
      </w:r>
      <w:r w:rsidRPr="00CB1062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, </w:t>
      </w:r>
      <w:r w:rsidR="00210BB1" w:rsidRPr="00CB1062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>No. 1251-20-4</w:t>
      </w:r>
      <w:r w:rsidR="00944182" w:rsidRPr="00CB1062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 (Va. Ct. App. June 15, 2021)</w:t>
      </w:r>
      <w:r w:rsidR="009656C4" w:rsidRPr="00CB1062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 (overcoming </w:t>
      </w:r>
      <w:r w:rsidR="00372653" w:rsidRPr="00CB1062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challenges raised, </w:t>
      </w:r>
      <w:r w:rsidR="00D42CFC" w:rsidRPr="00CB1062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>an</w:t>
      </w:r>
      <w:r w:rsidR="00372653" w:rsidRPr="00CB1062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 accident </w:t>
      </w:r>
      <w:r w:rsidR="00372653" w:rsidRPr="00CB1062">
        <w:rPr>
          <w:rFonts w:ascii="Garamond" w:hAnsi="Garamond" w:cs="Helvetica"/>
          <w:b/>
          <w:i/>
          <w:color w:val="373739"/>
          <w:sz w:val="28"/>
          <w:szCs w:val="28"/>
          <w:shd w:val="clear" w:color="auto" w:fill="FFFFFF"/>
        </w:rPr>
        <w:t>arising out of work</w:t>
      </w:r>
      <w:r w:rsidR="00372653" w:rsidRPr="00CB1062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>)</w:t>
      </w:r>
      <w:r w:rsidR="00944182" w:rsidRPr="00CB1062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>.</w:t>
      </w:r>
    </w:p>
    <w:p w:rsidR="00292AFB" w:rsidRPr="00292AFB" w:rsidRDefault="00292AFB" w:rsidP="00292AFB">
      <w:pPr>
        <w:pStyle w:val="ListParagraph"/>
        <w:rPr>
          <w:rFonts w:ascii="Garamond" w:hAnsi="Garamond" w:cs="Helvetica"/>
          <w:color w:val="373739"/>
          <w:sz w:val="28"/>
          <w:szCs w:val="28"/>
        </w:rPr>
      </w:pPr>
    </w:p>
    <w:p w:rsidR="00292AFB" w:rsidRPr="00292AFB" w:rsidRDefault="00292AFB" w:rsidP="00D42CFC">
      <w:pPr>
        <w:pStyle w:val="ListParagraph"/>
        <w:numPr>
          <w:ilvl w:val="0"/>
          <w:numId w:val="6"/>
        </w:numPr>
        <w:rPr>
          <w:rFonts w:ascii="Garamond" w:hAnsi="Garamond" w:cs="Helvetica"/>
          <w:color w:val="373739"/>
          <w:sz w:val="28"/>
          <w:szCs w:val="28"/>
        </w:rPr>
      </w:pPr>
      <w:r w:rsidRPr="00292AFB">
        <w:rPr>
          <w:rFonts w:ascii="Garamond" w:hAnsi="Garamond" w:cs="Helvetica"/>
          <w:b/>
          <w:i/>
          <w:color w:val="373739"/>
          <w:sz w:val="28"/>
          <w:szCs w:val="28"/>
          <w:shd w:val="clear" w:color="auto" w:fill="FFFFFF"/>
        </w:rPr>
        <w:t>Loudoun County Public Schools v. Hernandez</w:t>
      </w:r>
      <w:r w:rsidRPr="00292AFB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>, No. 0870-20-4 (Va. Ct. App. Jan. 12, 2021)</w:t>
      </w:r>
      <w:r w:rsidRPr="00292AFB">
        <w:rPr>
          <w:rFonts w:ascii="Garamond" w:hAnsi="Garamond" w:cs="Times New Roman"/>
          <w:sz w:val="28"/>
          <w:szCs w:val="28"/>
        </w:rPr>
        <w:t xml:space="preserve"> (recognizing an exacerbation as an </w:t>
      </w:r>
      <w:r w:rsidRPr="00292AFB">
        <w:rPr>
          <w:rFonts w:ascii="Garamond" w:hAnsi="Garamond" w:cs="Times New Roman"/>
          <w:b/>
          <w:i/>
          <w:sz w:val="28"/>
          <w:szCs w:val="28"/>
        </w:rPr>
        <w:t>injury</w:t>
      </w:r>
      <w:r w:rsidRPr="00292AFB">
        <w:rPr>
          <w:rFonts w:ascii="Garamond" w:hAnsi="Garamond" w:cs="Times New Roman"/>
          <w:sz w:val="28"/>
          <w:szCs w:val="28"/>
        </w:rPr>
        <w:t xml:space="preserve"> and the worker’s reasonable marketing efforts).</w:t>
      </w:r>
    </w:p>
    <w:p w:rsidR="00CB1062" w:rsidRPr="00292AFB" w:rsidRDefault="00CB1062" w:rsidP="00CB1062">
      <w:pPr>
        <w:pStyle w:val="ListParagraph"/>
        <w:rPr>
          <w:rFonts w:ascii="Garamond" w:hAnsi="Garamond" w:cs="Helvetica"/>
          <w:color w:val="373739"/>
          <w:sz w:val="28"/>
          <w:szCs w:val="28"/>
        </w:rPr>
      </w:pPr>
    </w:p>
    <w:p w:rsidR="00675A2B" w:rsidRPr="00292AFB" w:rsidRDefault="00CB1062" w:rsidP="00292AFB">
      <w:pPr>
        <w:pStyle w:val="ListParagraph"/>
        <w:numPr>
          <w:ilvl w:val="0"/>
          <w:numId w:val="6"/>
        </w:numPr>
        <w:rPr>
          <w:rFonts w:ascii="Garamond" w:eastAsia="Times New Roman" w:hAnsi="Garamond"/>
          <w:bCs/>
          <w:iCs/>
          <w:sz w:val="28"/>
          <w:szCs w:val="28"/>
        </w:rPr>
      </w:pPr>
      <w:r w:rsidRPr="00CB1062">
        <w:rPr>
          <w:rFonts w:ascii="Garamond" w:hAnsi="Garamond" w:cs="Helvetica"/>
          <w:b/>
          <w:i/>
          <w:color w:val="373739"/>
          <w:sz w:val="28"/>
          <w:szCs w:val="28"/>
          <w:shd w:val="clear" w:color="auto" w:fill="FFFFFF"/>
        </w:rPr>
        <w:lastRenderedPageBreak/>
        <w:t>Ligon v. CPS II, Inc.</w:t>
      </w:r>
      <w:r w:rsidRPr="00CB1062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>, No. 1190-20-4 (Va. Ct. App. April 6, 2021)</w:t>
      </w:r>
      <w:r w:rsidRPr="00CB1062">
        <w:rPr>
          <w:rFonts w:ascii="Garamond" w:hAnsi="Garamond"/>
          <w:sz w:val="28"/>
          <w:szCs w:val="28"/>
        </w:rPr>
        <w:t xml:space="preserve"> (analyzing burdens of production and persuasion)</w:t>
      </w:r>
      <w:r w:rsidRPr="00CB1062">
        <w:rPr>
          <w:rFonts w:ascii="Garamond" w:hAnsi="Garamond" w:cs="Helvetica"/>
          <w:color w:val="373739"/>
          <w:sz w:val="28"/>
          <w:szCs w:val="28"/>
        </w:rPr>
        <w:t>.</w:t>
      </w:r>
    </w:p>
    <w:p w:rsidR="00292AFB" w:rsidRPr="00292AFB" w:rsidRDefault="00292AFB" w:rsidP="00292AFB">
      <w:pPr>
        <w:pStyle w:val="ListParagraph"/>
        <w:rPr>
          <w:rFonts w:ascii="Garamond" w:eastAsia="Times New Roman" w:hAnsi="Garamond"/>
          <w:bCs/>
          <w:iCs/>
          <w:sz w:val="28"/>
          <w:szCs w:val="28"/>
        </w:rPr>
      </w:pPr>
    </w:p>
    <w:p w:rsidR="00292AFB" w:rsidRPr="00292AFB" w:rsidRDefault="00292AFB" w:rsidP="00292AFB">
      <w:pPr>
        <w:rPr>
          <w:rFonts w:ascii="Garamond" w:eastAsia="Times New Roman" w:hAnsi="Garamond"/>
          <w:b/>
          <w:bCs/>
          <w:iCs/>
          <w:sz w:val="28"/>
          <w:szCs w:val="28"/>
        </w:rPr>
      </w:pPr>
      <w:r w:rsidRPr="00292AFB">
        <w:rPr>
          <w:rFonts w:ascii="Garamond" w:eastAsia="Times New Roman" w:hAnsi="Garamond"/>
          <w:b/>
          <w:bCs/>
          <w:iCs/>
          <w:sz w:val="32"/>
          <w:szCs w:val="28"/>
        </w:rPr>
        <w:t>Medical Provider Claims.</w:t>
      </w:r>
      <w:r w:rsidRPr="00292AFB">
        <w:rPr>
          <w:rFonts w:ascii="Garamond" w:eastAsia="Times New Roman" w:hAnsi="Garamond"/>
          <w:b/>
          <w:bCs/>
          <w:iCs/>
          <w:sz w:val="28"/>
          <w:szCs w:val="28"/>
        </w:rPr>
        <w:t xml:space="preserve"> </w:t>
      </w:r>
    </w:p>
    <w:p w:rsidR="00292AFB" w:rsidRPr="00292AFB" w:rsidRDefault="00292AFB" w:rsidP="00292AFB">
      <w:pPr>
        <w:rPr>
          <w:rFonts w:ascii="Garamond" w:eastAsia="Times New Roman" w:hAnsi="Garamond"/>
          <w:bCs/>
          <w:iCs/>
          <w:sz w:val="28"/>
          <w:szCs w:val="28"/>
        </w:rPr>
      </w:pPr>
    </w:p>
    <w:p w:rsidR="00292AFB" w:rsidRDefault="006F3203" w:rsidP="00292AFB">
      <w:pPr>
        <w:pStyle w:val="ListParagraph"/>
        <w:numPr>
          <w:ilvl w:val="0"/>
          <w:numId w:val="9"/>
        </w:numPr>
        <w:rPr>
          <w:rFonts w:ascii="Garamond" w:hAnsi="Garamond" w:cs="Helvetica"/>
          <w:color w:val="373739"/>
          <w:sz w:val="28"/>
          <w:szCs w:val="28"/>
        </w:rPr>
      </w:pPr>
      <w:r w:rsidRPr="00292AFB">
        <w:rPr>
          <w:rFonts w:ascii="Garamond" w:hAnsi="Garamond" w:cs="Helvetica"/>
          <w:b/>
          <w:i/>
          <w:color w:val="373739"/>
          <w:sz w:val="28"/>
          <w:szCs w:val="28"/>
          <w:shd w:val="clear" w:color="auto" w:fill="FFFFFF"/>
        </w:rPr>
        <w:t>Atl</w:t>
      </w:r>
      <w:r w:rsidRPr="00292AFB">
        <w:rPr>
          <w:rFonts w:ascii="Garamond" w:hAnsi="Garamond" w:cs="Helvetica"/>
          <w:b/>
          <w:i/>
          <w:color w:val="373739"/>
          <w:sz w:val="28"/>
          <w:szCs w:val="28"/>
          <w:shd w:val="clear" w:color="auto" w:fill="FFFFFF"/>
        </w:rPr>
        <w:t xml:space="preserve">antic </w:t>
      </w:r>
      <w:r w:rsidRPr="00292AFB">
        <w:rPr>
          <w:rFonts w:ascii="Garamond" w:hAnsi="Garamond" w:cs="Helvetica"/>
          <w:b/>
          <w:i/>
          <w:color w:val="373739"/>
          <w:sz w:val="28"/>
          <w:szCs w:val="28"/>
          <w:shd w:val="clear" w:color="auto" w:fill="FFFFFF"/>
        </w:rPr>
        <w:t>Orthopaedic Specialists v. City of Portsmouth</w:t>
      </w:r>
      <w:r w:rsidRPr="00292AFB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>, 73 Va. App. 157 (2021)</w:t>
      </w:r>
      <w:r w:rsidR="00372653" w:rsidRPr="00292AFB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 (applying </w:t>
      </w:r>
      <w:r w:rsidRPr="00292AFB">
        <w:rPr>
          <w:rFonts w:ascii="Garamond" w:hAnsi="Garamond" w:cs="Helvetica"/>
          <w:color w:val="373739"/>
          <w:sz w:val="28"/>
          <w:szCs w:val="28"/>
        </w:rPr>
        <w:t>Va. Code</w:t>
      </w:r>
      <w:r w:rsidR="005C297A" w:rsidRPr="00292AFB">
        <w:rPr>
          <w:rFonts w:ascii="Garamond" w:hAnsi="Garamond" w:cs="Helvetica"/>
          <w:color w:val="373739"/>
          <w:sz w:val="28"/>
          <w:szCs w:val="28"/>
        </w:rPr>
        <w:t xml:space="preserve"> </w:t>
      </w:r>
      <w:r w:rsidRPr="00292AFB">
        <w:rPr>
          <w:rFonts w:ascii="Garamond" w:hAnsi="Garamond" w:cs="Helvetica"/>
          <w:color w:val="373739"/>
          <w:sz w:val="28"/>
          <w:szCs w:val="28"/>
        </w:rPr>
        <w:t>§ 65.2-605.1(F),</w:t>
      </w:r>
      <w:r w:rsidR="00372653" w:rsidRPr="00292AFB">
        <w:rPr>
          <w:rFonts w:ascii="Garamond" w:hAnsi="Garamond" w:cs="Helvetica"/>
          <w:color w:val="373739"/>
          <w:sz w:val="28"/>
          <w:szCs w:val="28"/>
        </w:rPr>
        <w:t xml:space="preserve"> barring a medical provider’s claim).</w:t>
      </w:r>
    </w:p>
    <w:p w:rsidR="00292AFB" w:rsidRDefault="00292AFB" w:rsidP="00292AFB">
      <w:pPr>
        <w:pStyle w:val="ListParagraph"/>
        <w:rPr>
          <w:rFonts w:ascii="Garamond" w:hAnsi="Garamond" w:cs="Helvetica"/>
          <w:color w:val="373739"/>
          <w:sz w:val="28"/>
          <w:szCs w:val="28"/>
        </w:rPr>
      </w:pPr>
      <w:r w:rsidRPr="00292AFB">
        <w:rPr>
          <w:rFonts w:ascii="Garamond" w:hAnsi="Garamond" w:cs="Helvetica"/>
          <w:color w:val="373739"/>
          <w:sz w:val="28"/>
          <w:szCs w:val="28"/>
        </w:rPr>
        <w:t xml:space="preserve"> </w:t>
      </w:r>
    </w:p>
    <w:p w:rsidR="00292AFB" w:rsidRPr="00292AFB" w:rsidRDefault="002324C9" w:rsidP="00292AFB">
      <w:pPr>
        <w:pStyle w:val="ListParagraph"/>
        <w:numPr>
          <w:ilvl w:val="0"/>
          <w:numId w:val="9"/>
        </w:numPr>
        <w:rPr>
          <w:rFonts w:ascii="Garamond" w:hAnsi="Garamond" w:cs="Helvetica"/>
          <w:color w:val="373739"/>
          <w:sz w:val="28"/>
          <w:szCs w:val="28"/>
        </w:rPr>
      </w:pPr>
      <w:r w:rsidRPr="00292AFB">
        <w:rPr>
          <w:rFonts w:ascii="Garamond" w:hAnsi="Garamond" w:cs="Helvetica"/>
          <w:b/>
          <w:i/>
          <w:color w:val="373739"/>
          <w:sz w:val="28"/>
          <w:szCs w:val="28"/>
          <w:shd w:val="clear" w:color="auto" w:fill="FFFFFF"/>
        </w:rPr>
        <w:t>Summit Pharm</w:t>
      </w:r>
      <w:r w:rsidR="00944182" w:rsidRPr="00292AFB">
        <w:rPr>
          <w:rFonts w:ascii="Garamond" w:hAnsi="Garamond" w:cs="Helvetica"/>
          <w:b/>
          <w:i/>
          <w:color w:val="373739"/>
          <w:sz w:val="28"/>
          <w:szCs w:val="28"/>
          <w:shd w:val="clear" w:color="auto" w:fill="FFFFFF"/>
        </w:rPr>
        <w:t>acy</w:t>
      </w:r>
      <w:r w:rsidRPr="00292AFB">
        <w:rPr>
          <w:rFonts w:ascii="Garamond" w:hAnsi="Garamond" w:cs="Helvetica"/>
          <w:b/>
          <w:i/>
          <w:color w:val="373739"/>
          <w:sz w:val="28"/>
          <w:szCs w:val="28"/>
          <w:shd w:val="clear" w:color="auto" w:fill="FFFFFF"/>
        </w:rPr>
        <w:t>, Inc. v. Costco Wholesale</w:t>
      </w:r>
      <w:r w:rsidRPr="00292AFB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>, 73 Va. App. 96 (2021)</w:t>
      </w:r>
      <w:r w:rsidR="00372653" w:rsidRPr="00292AFB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 (</w:t>
      </w:r>
      <w:r w:rsidR="00D42CFC" w:rsidRPr="00292AFB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holding a pharmacy qualifies as a “health care provider” </w:t>
      </w:r>
      <w:r w:rsidRPr="00292AFB">
        <w:rPr>
          <w:rFonts w:ascii="Garamond" w:hAnsi="Garamond" w:cs="Helvetica"/>
          <w:color w:val="373739"/>
          <w:sz w:val="28"/>
          <w:szCs w:val="28"/>
        </w:rPr>
        <w:t>under Va. Code § 65.2-605.1(F)</w:t>
      </w:r>
      <w:r w:rsidR="00D42CFC" w:rsidRPr="00292AFB">
        <w:rPr>
          <w:rFonts w:ascii="Garamond" w:hAnsi="Garamond" w:cs="Helvetica"/>
          <w:color w:val="373739"/>
          <w:sz w:val="28"/>
          <w:szCs w:val="28"/>
        </w:rPr>
        <w:t>).</w:t>
      </w:r>
      <w:r w:rsidR="00292AFB" w:rsidRPr="00292AFB">
        <w:rPr>
          <w:rFonts w:ascii="Garamond" w:hAnsi="Garamond" w:cs="Helvetica"/>
          <w:color w:val="373739"/>
          <w:sz w:val="28"/>
          <w:szCs w:val="28"/>
        </w:rPr>
        <w:t xml:space="preserve"> </w:t>
      </w:r>
    </w:p>
    <w:p w:rsidR="00292AFB" w:rsidRPr="00292AFB" w:rsidRDefault="00292AFB" w:rsidP="00292AFB">
      <w:pPr>
        <w:pStyle w:val="ListParagraph"/>
        <w:rPr>
          <w:rFonts w:ascii="Garamond" w:hAnsi="Garamond" w:cs="Helvetica"/>
          <w:color w:val="373739"/>
          <w:sz w:val="28"/>
          <w:szCs w:val="28"/>
        </w:rPr>
      </w:pPr>
    </w:p>
    <w:p w:rsidR="00292AFB" w:rsidRPr="00292AFB" w:rsidRDefault="00292AFB" w:rsidP="00292AFB">
      <w:pPr>
        <w:pStyle w:val="ListParagraph"/>
        <w:numPr>
          <w:ilvl w:val="0"/>
          <w:numId w:val="9"/>
        </w:numPr>
        <w:rPr>
          <w:rFonts w:ascii="Garamond" w:hAnsi="Garamond" w:cs="Helvetica"/>
          <w:color w:val="373739"/>
          <w:sz w:val="28"/>
          <w:szCs w:val="28"/>
        </w:rPr>
      </w:pPr>
      <w:r w:rsidRPr="00292AFB">
        <w:rPr>
          <w:rFonts w:ascii="Garamond" w:hAnsi="Garamond" w:cs="Helvetica"/>
          <w:b/>
          <w:i/>
          <w:color w:val="373739"/>
          <w:sz w:val="28"/>
          <w:szCs w:val="28"/>
          <w:shd w:val="clear" w:color="auto" w:fill="FFFFFF"/>
        </w:rPr>
        <w:t>Va. International Terminals, LLC v. Neurosurgical Specialists, Inc.</w:t>
      </w:r>
      <w:r w:rsidRPr="00292AFB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>, No. 1077-20-1 (Va. Ct. App. April 6, 2021)</w:t>
      </w:r>
      <w:r w:rsidRPr="00292AFB">
        <w:rPr>
          <w:rFonts w:ascii="Garamond" w:hAnsi="Garamond" w:cs="Times New Roman"/>
          <w:sz w:val="28"/>
          <w:szCs w:val="28"/>
        </w:rPr>
        <w:t xml:space="preserve"> (endorsing the Commission’s standard—medical bills represent prima facie of the prevailing community rate).</w:t>
      </w:r>
    </w:p>
    <w:p w:rsidR="00292AFB" w:rsidRPr="00292AFB" w:rsidRDefault="00292AFB" w:rsidP="00292AFB">
      <w:pPr>
        <w:pStyle w:val="ListParagraph"/>
        <w:rPr>
          <w:rFonts w:ascii="Garamond" w:hAnsi="Garamond" w:cs="Helvetica"/>
          <w:b/>
          <w:i/>
          <w:color w:val="373739"/>
          <w:sz w:val="28"/>
          <w:szCs w:val="28"/>
          <w:shd w:val="clear" w:color="auto" w:fill="FFFFFF"/>
        </w:rPr>
      </w:pPr>
    </w:p>
    <w:p w:rsidR="00EF1C45" w:rsidRPr="00427E9B" w:rsidRDefault="00F0044A" w:rsidP="00D14223">
      <w:pPr>
        <w:pStyle w:val="ListParagraph"/>
        <w:numPr>
          <w:ilvl w:val="0"/>
          <w:numId w:val="9"/>
        </w:numPr>
      </w:pPr>
      <w:r w:rsidRPr="007D0832">
        <w:rPr>
          <w:rFonts w:ascii="Garamond" w:hAnsi="Garamond" w:cs="Helvetica"/>
          <w:b/>
          <w:i/>
          <w:color w:val="373739"/>
          <w:sz w:val="28"/>
          <w:szCs w:val="28"/>
          <w:shd w:val="clear" w:color="auto" w:fill="FFFFFF"/>
        </w:rPr>
        <w:t>Petsmart, Inc. v. Miles</w:t>
      </w:r>
      <w:r w:rsidRPr="007D0832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, </w:t>
      </w:r>
      <w:r w:rsidR="00944182" w:rsidRPr="007D0832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>No.</w:t>
      </w:r>
      <w:r w:rsidR="005C297A" w:rsidRPr="007D0832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 0765-20-4</w:t>
      </w:r>
      <w:r w:rsidR="00944182" w:rsidRPr="007D0832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7D0832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>(Va. Ct. App. Jan</w:t>
      </w:r>
      <w:r w:rsidR="00944182" w:rsidRPr="007D0832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>.</w:t>
      </w:r>
      <w:r w:rsidRPr="007D0832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 12, 2021)</w:t>
      </w:r>
      <w:r w:rsidR="00D42CFC" w:rsidRPr="007D0832">
        <w:rPr>
          <w:rFonts w:ascii="Garamond" w:hAnsi="Garamond" w:cs="Helvetica"/>
          <w:color w:val="373739"/>
          <w:sz w:val="28"/>
          <w:szCs w:val="28"/>
          <w:shd w:val="clear" w:color="auto" w:fill="FFFFFF"/>
        </w:rPr>
        <w:t xml:space="preserve"> (addressing the scope of </w:t>
      </w:r>
      <w:r w:rsidRPr="007D0832">
        <w:rPr>
          <w:rFonts w:ascii="Garamond" w:hAnsi="Garamond" w:cs="Helvetica"/>
          <w:color w:val="373739"/>
          <w:sz w:val="28"/>
          <w:szCs w:val="28"/>
        </w:rPr>
        <w:t xml:space="preserve">Va. Code § 65.2-6051(F), </w:t>
      </w:r>
      <w:r w:rsidR="00D42CFC" w:rsidRPr="007D0832">
        <w:rPr>
          <w:rFonts w:ascii="Garamond" w:hAnsi="Garamond" w:cs="Helvetica"/>
          <w:color w:val="373739"/>
          <w:sz w:val="28"/>
          <w:szCs w:val="28"/>
        </w:rPr>
        <w:t xml:space="preserve">and appellate waiver/alternative holdings). </w:t>
      </w:r>
    </w:p>
    <w:sectPr w:rsidR="00EF1C45" w:rsidRPr="0042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4DB" w:rsidRDefault="007704DB" w:rsidP="007704DB">
      <w:r>
        <w:separator/>
      </w:r>
    </w:p>
  </w:endnote>
  <w:endnote w:type="continuationSeparator" w:id="0">
    <w:p w:rsidR="007704DB" w:rsidRDefault="007704DB" w:rsidP="0077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4DB" w:rsidRDefault="007704DB" w:rsidP="007704DB">
      <w:r>
        <w:separator/>
      </w:r>
    </w:p>
  </w:footnote>
  <w:footnote w:type="continuationSeparator" w:id="0">
    <w:p w:rsidR="007704DB" w:rsidRDefault="007704DB" w:rsidP="0077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E2FD8"/>
    <w:multiLevelType w:val="hybridMultilevel"/>
    <w:tmpl w:val="7AC2C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763"/>
    <w:multiLevelType w:val="hybridMultilevel"/>
    <w:tmpl w:val="C632F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1545"/>
    <w:multiLevelType w:val="hybridMultilevel"/>
    <w:tmpl w:val="F9B08B8C"/>
    <w:lvl w:ilvl="0" w:tplc="20EE9796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Calibri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83C7F"/>
    <w:multiLevelType w:val="hybridMultilevel"/>
    <w:tmpl w:val="DD62B2DE"/>
    <w:lvl w:ilvl="0" w:tplc="6324E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7136"/>
    <w:multiLevelType w:val="hybridMultilevel"/>
    <w:tmpl w:val="C7C8CD0C"/>
    <w:lvl w:ilvl="0" w:tplc="049659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88654D"/>
    <w:multiLevelType w:val="hybridMultilevel"/>
    <w:tmpl w:val="0332F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51880"/>
    <w:multiLevelType w:val="hybridMultilevel"/>
    <w:tmpl w:val="1C18248A"/>
    <w:lvl w:ilvl="0" w:tplc="FA2891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A5"/>
    <w:rsid w:val="000640FA"/>
    <w:rsid w:val="00091E7D"/>
    <w:rsid w:val="000C5FA4"/>
    <w:rsid w:val="00124C83"/>
    <w:rsid w:val="00183417"/>
    <w:rsid w:val="00210BB1"/>
    <w:rsid w:val="002324C9"/>
    <w:rsid w:val="00287DC3"/>
    <w:rsid w:val="00292AFB"/>
    <w:rsid w:val="00372653"/>
    <w:rsid w:val="00427E9B"/>
    <w:rsid w:val="00492A3D"/>
    <w:rsid w:val="00512A58"/>
    <w:rsid w:val="00574483"/>
    <w:rsid w:val="005C297A"/>
    <w:rsid w:val="005D5CF0"/>
    <w:rsid w:val="00614254"/>
    <w:rsid w:val="00675A2B"/>
    <w:rsid w:val="006C3A65"/>
    <w:rsid w:val="006C75EB"/>
    <w:rsid w:val="006D3D93"/>
    <w:rsid w:val="006F3203"/>
    <w:rsid w:val="007704DB"/>
    <w:rsid w:val="00777B41"/>
    <w:rsid w:val="007D0832"/>
    <w:rsid w:val="008275D8"/>
    <w:rsid w:val="00845998"/>
    <w:rsid w:val="0087311B"/>
    <w:rsid w:val="008C33A6"/>
    <w:rsid w:val="0093657C"/>
    <w:rsid w:val="00944182"/>
    <w:rsid w:val="009656C4"/>
    <w:rsid w:val="009E6841"/>
    <w:rsid w:val="00A312A5"/>
    <w:rsid w:val="00A96AEB"/>
    <w:rsid w:val="00BB169A"/>
    <w:rsid w:val="00BC3F4A"/>
    <w:rsid w:val="00CB1062"/>
    <w:rsid w:val="00CE7966"/>
    <w:rsid w:val="00CE7E14"/>
    <w:rsid w:val="00D42CFC"/>
    <w:rsid w:val="00DE51DC"/>
    <w:rsid w:val="00E40A1E"/>
    <w:rsid w:val="00E51616"/>
    <w:rsid w:val="00EA717E"/>
    <w:rsid w:val="00F0044A"/>
    <w:rsid w:val="00F55DB6"/>
    <w:rsid w:val="00F95154"/>
    <w:rsid w:val="00FA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19D6D"/>
  <w15:chartTrackingRefBased/>
  <w15:docId w15:val="{8668CEAB-7FC1-458A-8B78-5368A464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2A5"/>
    <w:pPr>
      <w:ind w:firstLine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2A5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04DB"/>
    <w:pPr>
      <w:spacing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4DB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704D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E51DC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sit">
    <w:name w:val="ss_it"/>
    <w:basedOn w:val="DefaultParagraphFont"/>
    <w:rsid w:val="0093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B8061-15D8-46CA-85DA-75064BF2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Workers Compensation Commission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Himmel, Robert M.</dc:creator>
  <cp:keywords/>
  <dc:description/>
  <cp:lastModifiedBy>Himmel, Robert M.</cp:lastModifiedBy>
  <cp:revision>3</cp:revision>
  <dcterms:created xsi:type="dcterms:W3CDTF">2021-06-22T17:40:00Z</dcterms:created>
  <dcterms:modified xsi:type="dcterms:W3CDTF">2021-06-22T17:43:00Z</dcterms:modified>
</cp:coreProperties>
</file>